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39" w:rsidRDefault="00B52039" w:rsidP="00B52039">
      <w:pPr>
        <w:widowControl w:val="0"/>
        <w:ind w:left="720"/>
        <w:jc w:val="center"/>
        <w:rPr>
          <w:rFonts w:ascii="Sylfaen" w:hAnsi="Sylfaen"/>
          <w:b/>
          <w:bCs/>
          <w:color w:val="FF0000"/>
          <w:sz w:val="32"/>
          <w:szCs w:val="32"/>
          <w14:ligatures w14:val="none"/>
        </w:rPr>
      </w:pPr>
      <w:r>
        <w:rPr>
          <w:rFonts w:ascii="Sylfaen" w:hAnsi="Sylfaen"/>
          <w:b/>
          <w:bCs/>
          <w:color w:val="FF0000"/>
          <w:sz w:val="32"/>
          <w:szCs w:val="32"/>
          <w14:ligatures w14:val="none"/>
        </w:rPr>
        <w:t xml:space="preserve">О МЕРАХ ПРОФИЛАКТИКИ </w:t>
      </w:r>
    </w:p>
    <w:p w:rsidR="00B52039" w:rsidRDefault="00B52039" w:rsidP="00B52039">
      <w:pPr>
        <w:widowControl w:val="0"/>
        <w:ind w:left="720"/>
        <w:jc w:val="center"/>
        <w:rPr>
          <w:rFonts w:ascii="Sylfaen" w:hAnsi="Sylfaen"/>
          <w:b/>
          <w:bCs/>
          <w:color w:val="FF0000"/>
          <w:sz w:val="32"/>
          <w:szCs w:val="32"/>
          <w14:ligatures w14:val="none"/>
        </w:rPr>
      </w:pPr>
      <w:r>
        <w:rPr>
          <w:rFonts w:ascii="Sylfaen" w:hAnsi="Sylfaen"/>
          <w:b/>
          <w:bCs/>
          <w:color w:val="FF0000"/>
          <w:sz w:val="32"/>
          <w:szCs w:val="32"/>
          <w14:ligatures w14:val="none"/>
        </w:rPr>
        <w:t xml:space="preserve">ЭНТЕРОВИРУСНОЙ </w:t>
      </w:r>
    </w:p>
    <w:p w:rsidR="00B52039" w:rsidRDefault="00B52039" w:rsidP="00B52039">
      <w:pPr>
        <w:widowControl w:val="0"/>
        <w:ind w:left="720"/>
        <w:jc w:val="center"/>
        <w:rPr>
          <w:rFonts w:ascii="Sylfaen" w:hAnsi="Sylfaen"/>
          <w:b/>
          <w:bCs/>
          <w:color w:val="FF0000"/>
          <w:sz w:val="32"/>
          <w:szCs w:val="32"/>
          <w14:ligatures w14:val="none"/>
        </w:rPr>
      </w:pPr>
      <w:r>
        <w:rPr>
          <w:rFonts w:ascii="Sylfaen" w:hAnsi="Sylfaen"/>
          <w:b/>
          <w:bCs/>
          <w:color w:val="FF0000"/>
          <w:sz w:val="32"/>
          <w:szCs w:val="32"/>
          <w14:ligatures w14:val="none"/>
        </w:rPr>
        <w:t>ИНФЕКЦИИ</w:t>
      </w:r>
    </w:p>
    <w:p w:rsidR="00B52039" w:rsidRDefault="00B52039" w:rsidP="00B52039">
      <w:pPr>
        <w:widowControl w:val="0"/>
        <w:jc w:val="center"/>
        <w:rPr>
          <w:b/>
          <w:bCs/>
          <w:color w:val="052635"/>
          <w:sz w:val="24"/>
          <w:szCs w:val="24"/>
          <w14:ligatures w14:val="none"/>
        </w:rPr>
      </w:pPr>
      <w:r>
        <w:rPr>
          <w:rFonts w:ascii="Sylfaen" w:hAnsi="Sylfaen"/>
          <w:b/>
          <w:bCs/>
          <w:color w:val="FF0000"/>
          <w:sz w:val="32"/>
          <w:szCs w:val="32"/>
          <w14:ligatures w14:val="none"/>
        </w:rPr>
        <w:tab/>
      </w:r>
      <w:r>
        <w:rPr>
          <w:b/>
          <w:bCs/>
          <w:color w:val="0070C0"/>
          <w:sz w:val="24"/>
          <w:szCs w:val="24"/>
          <w14:ligatures w14:val="none"/>
        </w:rPr>
        <w:t xml:space="preserve">По данным Федеральной службы по надзору в сфере защиты прав потребителей и благополучия человека в РФ в 2017 году в свердловской области зарегистрировано 2144 случая заболеваний энтеровирусной инфекции (далее ЭВИ). За 3 месяца 2018 года по окончательным диагнозам   зарегистрировано 39 случаев ЭВИ.  </w:t>
      </w:r>
    </w:p>
    <w:p w:rsidR="00B52039" w:rsidRDefault="00B52039" w:rsidP="00B52039">
      <w:pPr>
        <w:widowControl w:val="0"/>
        <w:ind w:firstLine="708"/>
        <w:jc w:val="both"/>
        <w:rPr>
          <w:color w:val="052635"/>
          <w:sz w:val="24"/>
          <w:szCs w:val="24"/>
          <w14:ligatures w14:val="none"/>
        </w:rPr>
      </w:pPr>
      <w:r>
        <w:rPr>
          <w:color w:val="052635"/>
          <w:sz w:val="24"/>
          <w:szCs w:val="24"/>
          <w14:ligatures w14:val="none"/>
        </w:rPr>
        <w:t> </w:t>
      </w:r>
    </w:p>
    <w:p w:rsidR="00B52039" w:rsidRDefault="00B52039" w:rsidP="00B52039">
      <w:pPr>
        <w:widowControl w:val="0"/>
        <w:ind w:firstLine="708"/>
        <w:jc w:val="both"/>
        <w:rPr>
          <w:color w:val="052635"/>
          <w:sz w:val="24"/>
          <w:szCs w:val="24"/>
          <w14:ligatures w14:val="none"/>
        </w:rPr>
      </w:pPr>
      <w:r>
        <w:rPr>
          <w:b/>
          <w:bCs/>
          <w:i/>
          <w:iCs/>
          <w:color w:val="052635"/>
          <w:sz w:val="24"/>
          <w:szCs w:val="24"/>
          <w14:ligatures w14:val="none"/>
        </w:rPr>
        <w:t xml:space="preserve">Энтеровирусная инфекция </w:t>
      </w:r>
      <w:r>
        <w:rPr>
          <w:color w:val="052635"/>
          <w:sz w:val="24"/>
          <w:szCs w:val="24"/>
          <w14:ligatures w14:val="none"/>
        </w:rPr>
        <w:t>– инфекционное заболевание, вызываемое определенным видом вируса. ЭВИ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др.), и это определяет значительное клиническое многообразие вызываемых ими заболеваний. </w:t>
      </w:r>
      <w:r>
        <w:rPr>
          <w:color w:val="052635"/>
          <w:sz w:val="24"/>
          <w:szCs w:val="24"/>
          <w14:ligatures w14:val="none"/>
        </w:rPr>
        <w:br/>
      </w:r>
      <w:proofErr w:type="gramStart"/>
      <w:r>
        <w:rPr>
          <w:color w:val="052635"/>
          <w:sz w:val="24"/>
          <w:szCs w:val="24"/>
          <w14:ligatures w14:val="none"/>
        </w:rPr>
        <w:t>Заболевание носит сезонный характер – вспышки возникают в весенне-летний и летне-осенний периоды.</w:t>
      </w:r>
      <w:proofErr w:type="gramEnd"/>
      <w:r>
        <w:rPr>
          <w:color w:val="052635"/>
          <w:sz w:val="24"/>
          <w:szCs w:val="24"/>
          <w14:ligatures w14:val="none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</w:t>
      </w:r>
    </w:p>
    <w:p w:rsidR="00B52039" w:rsidRDefault="00B52039" w:rsidP="00B52039">
      <w:pPr>
        <w:widowControl w:val="0"/>
        <w:ind w:firstLine="708"/>
        <w:jc w:val="both"/>
        <w:rPr>
          <w:color w:val="052635"/>
          <w:sz w:val="24"/>
          <w:szCs w:val="24"/>
          <w14:ligatures w14:val="none"/>
        </w:rPr>
      </w:pPr>
      <w:r>
        <w:rPr>
          <w:color w:val="052635"/>
          <w:sz w:val="24"/>
          <w:szCs w:val="24"/>
          <w14:ligatures w14:val="none"/>
        </w:rPr>
        <w:t>Очень часто заражение происходит при купании в открытых водоемах. </w:t>
      </w:r>
      <w:r>
        <w:rPr>
          <w:color w:val="052635"/>
          <w:sz w:val="24"/>
          <w:szCs w:val="24"/>
          <w14:ligatures w14:val="none"/>
        </w:rPr>
        <w:br/>
        <w:t>ЭВИ устойчивы во внешней среде: хорошо переносят низкие температуры (в холодильнике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месяцев. Вирус быстро погибает при прогревании, кипячении, при воздействии хлорсодержащих препаратов, ультрафиолетового облучения. </w:t>
      </w:r>
    </w:p>
    <w:p w:rsidR="00B52039" w:rsidRDefault="00B52039" w:rsidP="00B52039">
      <w:pPr>
        <w:widowControl w:val="0"/>
        <w:ind w:firstLine="708"/>
        <w:jc w:val="both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 </w:t>
      </w:r>
    </w:p>
    <w:p w:rsidR="00B52039" w:rsidRDefault="00B52039" w:rsidP="00B52039">
      <w:pPr>
        <w:widowControl w:val="0"/>
        <w:ind w:firstLine="708"/>
        <w:jc w:val="both"/>
        <w:rPr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Как проявляется инфекция? </w:t>
      </w:r>
    </w:p>
    <w:p w:rsidR="00B52039" w:rsidRDefault="00B52039" w:rsidP="00B52039">
      <w:pPr>
        <w:widowControl w:val="0"/>
        <w:ind w:firstLine="708"/>
        <w:jc w:val="both"/>
        <w:rPr>
          <w:b/>
          <w:bCs/>
          <w:color w:val="2E75B6"/>
          <w:sz w:val="24"/>
          <w:szCs w:val="24"/>
          <w14:ligatures w14:val="none"/>
        </w:rPr>
      </w:pPr>
      <w:r>
        <w:rPr>
          <w:b/>
          <w:bCs/>
          <w:color w:val="2E75B6"/>
          <w:sz w:val="24"/>
          <w:szCs w:val="24"/>
          <w14:ligatures w14:val="none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Заразиться может каждый, но чаще болеют дети. 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повышение температуры до 38-40˚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слабость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головная боль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 xml:space="preserve"> тошнота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 xml:space="preserve"> рвота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 xml:space="preserve"> светобоязнь 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 xml:space="preserve">эти симптомы могут сопровождаться болями в области сердца, живота, мышцах, боли в горле, герпетическими высыпаниями на дужках и миндалинах. </w:t>
      </w:r>
    </w:p>
    <w:p w:rsidR="00B52039" w:rsidRDefault="00B52039" w:rsidP="00B52039">
      <w:pPr>
        <w:widowControl w:val="0"/>
        <w:jc w:val="both"/>
        <w:rPr>
          <w:b/>
          <w:bCs/>
          <w:color w:val="2E75B6"/>
          <w:sz w:val="24"/>
          <w:szCs w:val="24"/>
          <w14:ligatures w14:val="none"/>
        </w:rPr>
      </w:pPr>
      <w:r>
        <w:rPr>
          <w:b/>
          <w:bCs/>
          <w:color w:val="2E75B6"/>
          <w:sz w:val="24"/>
          <w:szCs w:val="24"/>
          <w14:ligatures w14:val="none"/>
        </w:rPr>
        <w:t>В некоторых случаях наблюдаются: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катаральные явления со стороны верхних дыхательных путей: насморк, кашель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 </w:t>
      </w:r>
    </w:p>
    <w:p w:rsidR="00B52039" w:rsidRDefault="00B52039" w:rsidP="00B52039">
      <w:pPr>
        <w:widowControl w:val="0"/>
        <w:ind w:left="360" w:hanging="360"/>
        <w:jc w:val="both"/>
        <w:rPr>
          <w:color w:val="052635"/>
          <w:sz w:val="24"/>
          <w:szCs w:val="24"/>
          <w14:ligatures w14:val="none"/>
        </w:rPr>
      </w:pPr>
      <w:r>
        <w:rPr>
          <w:rFonts w:ascii="Symbol" w:hAnsi="Symbol"/>
          <w:color w:val="052635"/>
          <w:lang w:val="x-none"/>
        </w:rPr>
        <w:t></w:t>
      </w:r>
      <w:r>
        <w:t> </w:t>
      </w:r>
      <w:r>
        <w:rPr>
          <w:color w:val="052635"/>
          <w:sz w:val="24"/>
          <w:szCs w:val="24"/>
          <w14:ligatures w14:val="none"/>
        </w:rPr>
        <w:t>иногда могут развиться острые вялые параличи конечностей, судороги, дрожание конечностей, косоглазие, нарушение глотания, речи и др. </w:t>
      </w: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8"/>
          <w:szCs w:val="28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14:ligatures w14:val="none"/>
        </w:rPr>
      </w:pPr>
      <w:bookmarkStart w:id="0" w:name="_GoBack"/>
      <w:bookmarkEnd w:id="0"/>
      <w:r>
        <w:rPr>
          <w14:ligatures w14:val="none"/>
        </w:rPr>
        <w:lastRenderedPageBreak/>
        <w:t> </w:t>
      </w:r>
    </w:p>
    <w:p w:rsidR="00B52039" w:rsidRDefault="00B52039" w:rsidP="00B52039">
      <w:pPr>
        <w:widowControl w:val="0"/>
        <w:jc w:val="center"/>
        <w:rPr>
          <w:b/>
          <w:bCs/>
          <w:color w:val="0000FF"/>
          <w:sz w:val="24"/>
          <w:szCs w:val="24"/>
          <w14:ligatures w14:val="none"/>
        </w:rPr>
      </w:pPr>
      <w:r>
        <w:rPr>
          <w:b/>
          <w:bCs/>
          <w:color w:val="FF0000"/>
          <w:sz w:val="28"/>
          <w:szCs w:val="28"/>
          <w14:ligatures w14:val="none"/>
        </w:rPr>
        <w:t xml:space="preserve">КАК УБЕРЕЧЬ СЕБЯ И СВОИХ БЛИЗКИХ? </w:t>
      </w:r>
      <w:r>
        <w:rPr>
          <w:b/>
          <w:bCs/>
          <w:color w:val="052635"/>
          <w:sz w:val="28"/>
          <w:szCs w:val="28"/>
          <w14:ligatures w14:val="none"/>
        </w:rPr>
        <w:br/>
      </w:r>
      <w:r>
        <w:rPr>
          <w:color w:val="052635"/>
          <w:sz w:val="24"/>
          <w:szCs w:val="24"/>
          <w14:ligatures w14:val="none"/>
        </w:rPr>
        <w:br/>
      </w:r>
      <w:r>
        <w:rPr>
          <w:b/>
          <w:bCs/>
          <w:color w:val="0000FF"/>
          <w:sz w:val="24"/>
          <w:szCs w:val="24"/>
          <w14:ligatures w14:val="none"/>
        </w:rPr>
        <w:t xml:space="preserve">Меры неспецифической профилактики энтеровирусной инфекции такие же, как при любой острой кишечной инфекции – </w:t>
      </w:r>
    </w:p>
    <w:p w:rsidR="00B52039" w:rsidRDefault="00B52039" w:rsidP="00B52039">
      <w:pPr>
        <w:widowControl w:val="0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 </w:t>
      </w:r>
    </w:p>
    <w:p w:rsidR="00B52039" w:rsidRDefault="00B52039" w:rsidP="00B52039">
      <w:pPr>
        <w:widowControl w:val="0"/>
        <w:jc w:val="center"/>
        <w:rPr>
          <w:color w:val="2E75B6"/>
          <w:sz w:val="24"/>
          <w:szCs w:val="24"/>
          <w14:ligatures w14:val="none"/>
        </w:rPr>
      </w:pPr>
      <w:r>
        <w:rPr>
          <w:b/>
          <w:bCs/>
          <w:color w:val="FF0000"/>
          <w:sz w:val="24"/>
          <w:szCs w:val="24"/>
          <w14:ligatures w14:val="none"/>
        </w:rPr>
        <w:t>НЕОБХОДИМО СОБЛЮДАТЬ СЛЕДУЮЩИЕ ПРАВИЛА</w:t>
      </w:r>
      <w:r>
        <w:rPr>
          <w:b/>
          <w:bCs/>
          <w:color w:val="2E75B6"/>
          <w:sz w:val="24"/>
          <w:szCs w:val="24"/>
          <w14:ligatures w14:val="none"/>
        </w:rPr>
        <w:t>:</w:t>
      </w:r>
      <w:r>
        <w:rPr>
          <w:color w:val="2E75B6"/>
          <w:sz w:val="24"/>
          <w:szCs w:val="24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для питья использовать только кипяченую или бутилированную воду;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перед употреблением фруктов и овощей их необходимо тщательно мыть с применением щетки и последующим ополаскиванием кипятком;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купаться только в официально разрешенных местах, при купании стараться не заглатывать воду;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не приобретать продукты у частных лиц и в неустановленных для торговли местах;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ind w:left="360" w:hanging="360"/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</w:pPr>
      <w:r>
        <w:rPr>
          <w:rFonts w:ascii="Symbol" w:hAnsi="Symbol"/>
          <w:color w:val="0000C0"/>
          <w:lang w:val="x-none"/>
        </w:rPr>
        <w:t></w:t>
      </w:r>
      <w:r>
        <w:t> </w:t>
      </w:r>
      <w:r>
        <w:rPr>
          <w:rFonts w:ascii="Segoe UI Semilight" w:hAnsi="Segoe UI Semilight" w:cs="Segoe UI Semilight"/>
          <w:b/>
          <w:bCs/>
          <w:color w:val="0000C0"/>
          <w:sz w:val="28"/>
          <w:szCs w:val="28"/>
          <w14:ligatures w14:val="none"/>
        </w:rPr>
        <w:t>соблюдать правила личной гигиены.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b/>
          <w:bCs/>
          <w:color w:val="052635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052635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color w:val="052635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color w:val="052635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rPr>
          <w:rFonts w:ascii="Segoe UI Semilight" w:hAnsi="Segoe UI Semilight" w:cs="Segoe UI Semilight"/>
          <w:color w:val="052635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color w:val="052635"/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jc w:val="center"/>
        <w:rPr>
          <w:rFonts w:ascii="Segoe UI Semilight" w:hAnsi="Segoe UI Semilight" w:cs="Segoe UI Semilight"/>
          <w:color w:val="FF0000"/>
          <w:sz w:val="28"/>
          <w:szCs w:val="28"/>
          <w14:ligatures w14:val="none"/>
        </w:rPr>
      </w:pPr>
      <w:r>
        <w:rPr>
          <w:rFonts w:ascii="Segoe UI Semilight" w:hAnsi="Segoe UI Semilight" w:cs="Segoe UI Semilight"/>
          <w:b/>
          <w:bCs/>
          <w:color w:val="FF0000"/>
          <w:sz w:val="28"/>
          <w:szCs w:val="28"/>
          <w14:ligatures w14:val="none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B52039" w:rsidRDefault="00B52039" w:rsidP="00B52039">
      <w:pPr>
        <w:spacing w:line="256" w:lineRule="auto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B52039" w:rsidRDefault="00B52039" w:rsidP="00B52039">
      <w:pPr>
        <w:widowControl w:val="0"/>
        <w:jc w:val="center"/>
        <w:rPr>
          <w14:ligatures w14:val="none"/>
        </w:rPr>
      </w:pPr>
      <w:r>
        <w:rPr>
          <w:b/>
          <w:bCs/>
          <w:color w:val="052635"/>
          <w:sz w:val="24"/>
          <w:szCs w:val="24"/>
          <w14:ligatures w14:val="none"/>
        </w:rPr>
        <w:t xml:space="preserve"> </w:t>
      </w:r>
    </w:p>
    <w:p w:rsidR="00B52039" w:rsidRDefault="00B52039" w:rsidP="00B52039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77C45" w:rsidRDefault="00377C45"/>
    <w:sectPr w:rsidR="0037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Times New Roman"/>
    <w:charset w:val="00"/>
    <w:family w:val="auto"/>
    <w:pitch w:val="default"/>
    <w:sig w:usb0="00000000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39"/>
    <w:rsid w:val="00377C45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2018-06-16T04:56:00Z</dcterms:created>
  <dcterms:modified xsi:type="dcterms:W3CDTF">2018-06-16T04:57:00Z</dcterms:modified>
</cp:coreProperties>
</file>